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9" w:type="dxa"/>
        <w:tblLayout w:type="fixed"/>
        <w:tblLook w:val="04A0" w:firstRow="1" w:lastRow="0" w:firstColumn="1" w:lastColumn="0" w:noHBand="0" w:noVBand="1"/>
      </w:tblPr>
      <w:tblGrid>
        <w:gridCol w:w="882"/>
        <w:gridCol w:w="3777"/>
        <w:gridCol w:w="1367"/>
        <w:gridCol w:w="1581"/>
        <w:gridCol w:w="3733"/>
        <w:gridCol w:w="236"/>
        <w:gridCol w:w="1153"/>
        <w:gridCol w:w="1095"/>
        <w:gridCol w:w="1143"/>
        <w:gridCol w:w="632"/>
      </w:tblGrid>
      <w:tr w:rsidR="004F4609" w:rsidTr="006A6EEF">
        <w:trPr>
          <w:trHeight w:val="21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contextualSpacing w:val="0"/>
            </w:pP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</w:tr>
      <w:tr w:rsidR="004F4609" w:rsidTr="006A6EEF">
        <w:trPr>
          <w:gridAfter w:val="1"/>
          <w:wAfter w:w="632" w:type="dxa"/>
          <w:trHeight w:val="70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62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609" w:rsidRDefault="004F4609">
            <w:pPr>
              <w:spacing w:after="24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F4609" w:rsidTr="006A6EEF">
        <w:trPr>
          <w:gridAfter w:val="1"/>
          <w:wAfter w:w="632" w:type="dxa"/>
          <w:trHeight w:val="48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spacing w:after="240"/>
            </w:pP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6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4609" w:rsidRDefault="004F4609">
            <w:pPr>
              <w:rPr>
                <w:sz w:val="24"/>
                <w:szCs w:val="24"/>
              </w:rPr>
            </w:pPr>
          </w:p>
        </w:tc>
      </w:tr>
      <w:tr w:rsidR="004F4609" w:rsidTr="006A6EEF">
        <w:trPr>
          <w:gridAfter w:val="1"/>
          <w:wAfter w:w="632" w:type="dxa"/>
          <w:trHeight w:val="375"/>
        </w:trPr>
        <w:tc>
          <w:tcPr>
            <w:tcW w:w="149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609" w:rsidRDefault="004F46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ОТЧЕТ</w:t>
            </w:r>
          </w:p>
        </w:tc>
      </w:tr>
    </w:tbl>
    <w:p w:rsidR="00ED061F" w:rsidRDefault="00ED061F" w:rsidP="004F4609">
      <w:pPr>
        <w:spacing w:after="0" w:line="240" w:lineRule="auto"/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3880"/>
        <w:gridCol w:w="1400"/>
        <w:gridCol w:w="1620"/>
        <w:gridCol w:w="1760"/>
        <w:gridCol w:w="1660"/>
        <w:gridCol w:w="1180"/>
        <w:gridCol w:w="1120"/>
        <w:gridCol w:w="1820"/>
      </w:tblGrid>
      <w:tr w:rsidR="004F4609" w:rsidTr="004F4609">
        <w:tc>
          <w:tcPr>
            <w:tcW w:w="15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09" w:rsidRDefault="004F4609">
            <w:pPr>
              <w:contextualSpacing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реализации государственной программы</w:t>
            </w:r>
          </w:p>
        </w:tc>
      </w:tr>
      <w:tr w:rsidR="004F4609" w:rsidTr="004F4609">
        <w:tc>
          <w:tcPr>
            <w:tcW w:w="15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«Совершенствование механизмов осуществления закупок товаров, работ, услуг для государственных нужд Свердловской области до 2020 года»</w:t>
            </w:r>
          </w:p>
        </w:tc>
      </w:tr>
      <w:tr w:rsidR="004F4609" w:rsidTr="004F4609">
        <w:tc>
          <w:tcPr>
            <w:tcW w:w="15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09" w:rsidRDefault="004F4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1</w:t>
            </w:r>
          </w:p>
        </w:tc>
      </w:tr>
      <w:tr w:rsidR="004F4609" w:rsidTr="004F4609">
        <w:tc>
          <w:tcPr>
            <w:tcW w:w="15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Достижение целевых показателей государственной программы за I квартал 2015 г. (отчетный период)</w:t>
            </w:r>
          </w:p>
        </w:tc>
      </w:tr>
      <w:tr w:rsidR="004F4609" w:rsidTr="004F4609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№ строки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Цели, задачи и целевые 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Единица измерения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Значение целевого показателя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Процент выполнения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Причины отклонения от планового значения</w:t>
            </w:r>
          </w:p>
        </w:tc>
      </w:tr>
      <w:tr w:rsidR="004F4609" w:rsidTr="004F4609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609" w:rsidRDefault="004F4609">
            <w:pPr>
              <w:rPr>
                <w:b/>
                <w:bCs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609" w:rsidRDefault="004F4609">
            <w:pPr>
              <w:rPr>
                <w:b/>
                <w:bCs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609" w:rsidRDefault="004F4609">
            <w:pPr>
              <w:rPr>
                <w:b/>
                <w:bCs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(год)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(отчетный период)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факт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годового 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значения отчетного периода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609" w:rsidRDefault="004F4609">
            <w:pPr>
              <w:rPr>
                <w:b/>
                <w:bCs/>
                <w:szCs w:val="20"/>
              </w:rPr>
            </w:pP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Цель 1. Повышение эффективности и результативности осуществления закупок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1.1. Развитие добросовестной конкуренции при проведении закупок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Среднее количество поставщиков (подрядчиков, исполнителей), принявших участие в закупках, проводимых Департаментом государственных закупок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См. примечание 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Доля стоимости закупок с единственным участником, признанных несостоявшимися, в общей стоимости закупок, проводимых Департаментом государственных закупок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См. примечание 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1.2. Увеличение количества совместных конкурсов и аукционов для нужд заказчиков Свердловской области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Количество проведенных совместных конкурсов и аукционов для нужд заказчиков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7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Цель 2. Обеспечение гласности и прозрачности осуществления закупок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2.1. Создание и ведение региональной информационной системы в сфере закупок, интегрированной с единой информационной системой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 xml:space="preserve">Доля государственных заказчиков Свердловской области, использующих </w:t>
            </w:r>
            <w:proofErr w:type="gramStart"/>
            <w:r>
              <w:rPr>
                <w:szCs w:val="20"/>
              </w:rPr>
              <w:t>функционал  сайта</w:t>
            </w:r>
            <w:proofErr w:type="gramEnd"/>
            <w:r>
              <w:rPr>
                <w:szCs w:val="20"/>
              </w:rPr>
              <w:t xml:space="preserve"> Свердловской области "Закупки продукции для нужд Свердловской области"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2.2. Предотвращение коррупции и других злоупотреблений в сфере закупок товаров, работ, услуг для обеспечения государственных и муниципальных нужд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Доля обоснованных жалоб в общем объеме закупок, в отношении которых Департаментом государственных закупок Свердловской области была проведена проверка заявок заказчиков Свердловской области на предмет соответствия требованиям законодательства в сфере закупок товаров, работ,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Цель 3. Реализация единой государственной политики в сфере закупок, товаров, работ, услуг для обеспечения государственных и муниципальных нужд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3.1. Совершенствование нормативно-правовой базы в сфере закупок товаров, работ, услуг для обеспечения государственных и муниципальных нужд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Количество разработанных правовых актов Свердловской области в сфере закупок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4609" w:rsidRDefault="004F460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609" w:rsidRDefault="004F460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3.2. Совершенствование методического сопровождения деятельности заказчиков Свердловской области, осуществляющих закупки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Доля  заказчиков</w:t>
            </w:r>
            <w:proofErr w:type="gramEnd"/>
            <w:r>
              <w:rPr>
                <w:szCs w:val="20"/>
              </w:rPr>
              <w:t>, представители которых приняли участие в семинарах, направленных на повышение квалификации в сфере осуществления закупок, проводимых Департаментом государственных закупок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Количество разработанных методических рекомендаций, информационных писем, типовых форм документов для заказчиков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F4609" w:rsidTr="004F4609"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rPr>
                <w:szCs w:val="20"/>
              </w:rPr>
            </w:pPr>
          </w:p>
        </w:tc>
      </w:tr>
      <w:tr w:rsidR="004F4609" w:rsidTr="004F4609">
        <w:tc>
          <w:tcPr>
            <w:tcW w:w="1534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4609" w:rsidRDefault="004F460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Примечание:  Отклонение фактических показателей от планируемых значений целевых показателей в отчетном периоде возникло по причине проведения в 1 квартале 2015 года                    71 закупки для нужд  Министерства финансов Свердловской области на оказание услуг по предоставлению кредитных средств на сумму 12 726,3 млн. </w:t>
            </w:r>
            <w:proofErr w:type="spellStart"/>
            <w:r>
              <w:rPr>
                <w:szCs w:val="20"/>
              </w:rPr>
              <w:t>руб</w:t>
            </w:r>
            <w:proofErr w:type="spellEnd"/>
            <w:r>
              <w:rPr>
                <w:szCs w:val="20"/>
              </w:rPr>
              <w:t>, по результатам которых  26 закупок  признаны несостоявшимися (подана одна заявка) на сумму 3 983,3 млн. руб., а также 44 закупки признаны несостоявшимися (не подано ни одной заявки) на сумму                                   8 623 млн. руб.</w:t>
            </w:r>
          </w:p>
        </w:tc>
      </w:tr>
    </w:tbl>
    <w:p w:rsidR="004F4609" w:rsidRDefault="004F4609" w:rsidP="004F4609">
      <w:pPr>
        <w:spacing w:after="0" w:line="240" w:lineRule="auto"/>
      </w:pPr>
    </w:p>
    <w:sectPr w:rsidR="004F4609" w:rsidSect="004F4609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609"/>
    <w:rsid w:val="004F4609"/>
    <w:rsid w:val="006A6EEF"/>
    <w:rsid w:val="00ED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108FD-094C-41F2-AFF5-F869E68C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7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 Валерий Михайлович</dc:creator>
  <cp:keywords/>
  <dc:description/>
  <cp:lastModifiedBy>Искаков Валерий Михайлович</cp:lastModifiedBy>
  <cp:revision>2</cp:revision>
  <dcterms:created xsi:type="dcterms:W3CDTF">2015-05-07T07:01:00Z</dcterms:created>
  <dcterms:modified xsi:type="dcterms:W3CDTF">2015-05-07T07:02:00Z</dcterms:modified>
</cp:coreProperties>
</file>